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48" w:rsidRPr="007B5348" w:rsidRDefault="007B5348" w:rsidP="007B534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35BA3"/>
          <w:kern w:val="36"/>
          <w:sz w:val="33"/>
          <w:szCs w:val="33"/>
          <w:lang w:eastAsia="pt-BR"/>
        </w:rPr>
      </w:pPr>
      <w:r w:rsidRPr="007B5348"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  <w:t xml:space="preserve">Anestésico </w:t>
      </w:r>
      <w:proofErr w:type="spellStart"/>
      <w:r w:rsidRPr="007B5348"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  <w:t>Articaine</w:t>
      </w:r>
      <w:proofErr w:type="spellEnd"/>
      <w:r w:rsidRPr="007B5348"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  <w:t xml:space="preserve"> 4% </w:t>
      </w:r>
      <w:proofErr w:type="gramStart"/>
      <w:r w:rsidRPr="007B5348"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  <w:t>1:100</w:t>
      </w:r>
      <w:proofErr w:type="gramEnd"/>
      <w:r w:rsidRPr="007B5348"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  <w:t>.000 - DFL</w:t>
      </w:r>
    </w:p>
    <w:p w:rsidR="00DB37DF" w:rsidRDefault="00DB37DF"/>
    <w:p w:rsidR="007B5348" w:rsidRDefault="007B5348"/>
    <w:p w:rsidR="007B5348" w:rsidRDefault="00811230" w:rsidP="00811230">
      <w:pPr>
        <w:jc w:val="center"/>
      </w:pPr>
      <w:r>
        <w:rPr>
          <w:noProof/>
          <w:lang w:eastAsia="pt-BR"/>
        </w:rPr>
        <w:drawing>
          <wp:inline distT="0" distB="0" distL="0" distR="0">
            <wp:extent cx="4838700" cy="3063657"/>
            <wp:effectExtent l="0" t="0" r="0" b="3810"/>
            <wp:docPr id="2" name="Imagem 2" descr="D:\BKP Alexandre\Desktop\artica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BKP Alexandre\Desktop\articain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06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230" w:rsidRPr="00811230" w:rsidRDefault="00811230" w:rsidP="00811230">
      <w:pPr>
        <w:jc w:val="center"/>
      </w:pPr>
      <w:r w:rsidRPr="00811230">
        <w:rPr>
          <w:rFonts w:ascii="Arial" w:hAnsi="Arial" w:cs="Arial"/>
          <w:sz w:val="20"/>
          <w:szCs w:val="20"/>
          <w:shd w:val="clear" w:color="auto" w:fill="FFFFFF"/>
        </w:rPr>
        <w:t xml:space="preserve">Caixa c/ 50 </w:t>
      </w:r>
      <w:proofErr w:type="spellStart"/>
      <w:r w:rsidRPr="00811230">
        <w:rPr>
          <w:rFonts w:ascii="Arial" w:hAnsi="Arial" w:cs="Arial"/>
          <w:sz w:val="20"/>
          <w:szCs w:val="20"/>
          <w:shd w:val="clear" w:color="auto" w:fill="FFFFFF"/>
        </w:rPr>
        <w:t>tubetes</w:t>
      </w:r>
      <w:proofErr w:type="spellEnd"/>
      <w:r w:rsidRPr="00811230">
        <w:rPr>
          <w:rFonts w:ascii="Arial" w:hAnsi="Arial" w:cs="Arial"/>
          <w:sz w:val="20"/>
          <w:szCs w:val="20"/>
          <w:shd w:val="clear" w:color="auto" w:fill="FFFFFF"/>
        </w:rPr>
        <w:t xml:space="preserve"> de 1,8 ml, acondicionados em blisters lacrados com 10 </w:t>
      </w:r>
      <w:proofErr w:type="spellStart"/>
      <w:r w:rsidRPr="00811230">
        <w:rPr>
          <w:rFonts w:ascii="Arial" w:hAnsi="Arial" w:cs="Arial"/>
          <w:sz w:val="20"/>
          <w:szCs w:val="20"/>
          <w:shd w:val="clear" w:color="auto" w:fill="FFFFFF"/>
        </w:rPr>
        <w:t>tubetes</w:t>
      </w:r>
      <w:proofErr w:type="spellEnd"/>
      <w:r w:rsidRPr="00811230">
        <w:rPr>
          <w:rFonts w:ascii="Arial" w:hAnsi="Arial" w:cs="Arial"/>
          <w:sz w:val="20"/>
          <w:szCs w:val="20"/>
          <w:shd w:val="clear" w:color="auto" w:fill="FFFFFF"/>
        </w:rPr>
        <w:t xml:space="preserve"> cada.</w:t>
      </w:r>
    </w:p>
    <w:p w:rsidR="00811230" w:rsidRDefault="00811230" w:rsidP="00811230">
      <w:pPr>
        <w:jc w:val="center"/>
      </w:pP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sz w:val="28"/>
        </w:rPr>
      </w:pPr>
      <w:r w:rsidRPr="00811230">
        <w:rPr>
          <w:rFonts w:ascii="Arial" w:hAnsi="Arial" w:cs="Arial"/>
          <w:b/>
          <w:sz w:val="28"/>
        </w:rPr>
        <w:t>Benefícios</w:t>
      </w: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Isento de </w:t>
      </w:r>
      <w:proofErr w:type="spellStart"/>
      <w:r w:rsidRPr="00811230">
        <w:rPr>
          <w:rFonts w:ascii="Arial" w:hAnsi="Arial" w:cs="Arial"/>
        </w:rPr>
        <w:t>Metilparabeno;</w:t>
      </w:r>
      <w:proofErr w:type="spellEnd"/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Maior </w:t>
      </w:r>
      <w:proofErr w:type="spellStart"/>
      <w:r w:rsidRPr="00811230">
        <w:rPr>
          <w:rFonts w:ascii="Arial" w:hAnsi="Arial" w:cs="Arial"/>
        </w:rPr>
        <w:t>hidrossolubilidade;</w:t>
      </w:r>
      <w:proofErr w:type="spellEnd"/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Maior difusão nos tecidos ósseos, evitando em muitos casos a desconfortável complementação palatina;</w:t>
      </w:r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Embalagem em blisters lacrados com 10 </w:t>
      </w:r>
      <w:proofErr w:type="spellStart"/>
      <w:r w:rsidRPr="00811230">
        <w:rPr>
          <w:rFonts w:ascii="Arial" w:hAnsi="Arial" w:cs="Arial"/>
        </w:rPr>
        <w:t>tubetes</w:t>
      </w:r>
      <w:proofErr w:type="spellEnd"/>
      <w:r w:rsidRPr="00811230">
        <w:rPr>
          <w:rFonts w:ascii="Arial" w:hAnsi="Arial" w:cs="Arial"/>
        </w:rPr>
        <w:t>, minimizando a contaminação externa;</w:t>
      </w:r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Acondicionados em </w:t>
      </w:r>
      <w:proofErr w:type="spellStart"/>
      <w:r w:rsidRPr="00811230">
        <w:rPr>
          <w:rFonts w:ascii="Arial" w:hAnsi="Arial" w:cs="Arial"/>
        </w:rPr>
        <w:t>tubetes</w:t>
      </w:r>
      <w:proofErr w:type="spellEnd"/>
      <w:r w:rsidRPr="00811230">
        <w:rPr>
          <w:rFonts w:ascii="Arial" w:hAnsi="Arial" w:cs="Arial"/>
        </w:rPr>
        <w:t xml:space="preserve"> de cristal, que:</w:t>
      </w:r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Permitem a melhor visualização do refluxo sanguíneo;</w:t>
      </w:r>
    </w:p>
    <w:p w:rsid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Minimizam a dor durante a aplicação, pela maior suavidade de deslizamento do êmbolo </w:t>
      </w:r>
      <w:proofErr w:type="spellStart"/>
      <w:r w:rsidRPr="00811230">
        <w:rPr>
          <w:rFonts w:ascii="Arial" w:hAnsi="Arial" w:cs="Arial"/>
        </w:rPr>
        <w:t>siliconizado;</w:t>
      </w:r>
      <w:proofErr w:type="spellEnd"/>
    </w:p>
    <w:p w:rsidR="00811230" w:rsidRPr="00811230" w:rsidRDefault="00811230" w:rsidP="008112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Mantém a eficiência do produto inalterada durante todo o período de validade, pela ausência de porosidade do cristal.</w:t>
      </w:r>
    </w:p>
    <w:p w:rsid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sz w:val="28"/>
        </w:rPr>
      </w:pPr>
      <w:r w:rsidRPr="00811230">
        <w:rPr>
          <w:rFonts w:ascii="Arial" w:hAnsi="Arial" w:cs="Arial"/>
          <w:b/>
          <w:sz w:val="28"/>
        </w:rPr>
        <w:t>Características</w:t>
      </w: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P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Composição: Cloridrato de </w:t>
      </w:r>
      <w:proofErr w:type="spellStart"/>
      <w:r w:rsidRPr="00811230">
        <w:rPr>
          <w:rFonts w:ascii="Arial" w:hAnsi="Arial" w:cs="Arial"/>
        </w:rPr>
        <w:t>Articaína</w:t>
      </w:r>
      <w:proofErr w:type="spellEnd"/>
      <w:r w:rsidRPr="00811230">
        <w:rPr>
          <w:rFonts w:ascii="Arial" w:hAnsi="Arial" w:cs="Arial"/>
        </w:rPr>
        <w:t xml:space="preserve"> 4% com </w:t>
      </w:r>
      <w:proofErr w:type="spellStart"/>
      <w:r w:rsidRPr="00811230">
        <w:rPr>
          <w:rFonts w:ascii="Arial" w:hAnsi="Arial" w:cs="Arial"/>
        </w:rPr>
        <w:t>Epinefrina</w:t>
      </w:r>
      <w:proofErr w:type="spellEnd"/>
      <w:r w:rsidRPr="00811230">
        <w:rPr>
          <w:rFonts w:ascii="Arial" w:hAnsi="Arial" w:cs="Arial"/>
        </w:rPr>
        <w:t xml:space="preserve"> </w:t>
      </w:r>
      <w:proofErr w:type="gramStart"/>
      <w:r w:rsidRPr="00811230">
        <w:rPr>
          <w:rFonts w:ascii="Arial" w:hAnsi="Arial" w:cs="Arial"/>
        </w:rPr>
        <w:t>1:100</w:t>
      </w:r>
      <w:proofErr w:type="gramEnd"/>
      <w:r w:rsidRPr="00811230">
        <w:rPr>
          <w:rFonts w:ascii="Arial" w:hAnsi="Arial" w:cs="Arial"/>
        </w:rPr>
        <w:t>.000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proofErr w:type="spellStart"/>
      <w:r w:rsidRPr="00811230">
        <w:rPr>
          <w:rFonts w:ascii="Arial" w:hAnsi="Arial" w:cs="Arial"/>
        </w:rPr>
        <w:t>Articaína</w:t>
      </w:r>
      <w:proofErr w:type="spellEnd"/>
      <w:r w:rsidRPr="00811230">
        <w:rPr>
          <w:rFonts w:ascii="Arial" w:hAnsi="Arial" w:cs="Arial"/>
        </w:rPr>
        <w:t xml:space="preserve">: A </w:t>
      </w:r>
      <w:proofErr w:type="spellStart"/>
      <w:r w:rsidRPr="00811230">
        <w:rPr>
          <w:rFonts w:ascii="Arial" w:hAnsi="Arial" w:cs="Arial"/>
        </w:rPr>
        <w:t>Articaína</w:t>
      </w:r>
      <w:proofErr w:type="spellEnd"/>
      <w:r w:rsidRPr="00811230">
        <w:rPr>
          <w:rFonts w:ascii="Arial" w:hAnsi="Arial" w:cs="Arial"/>
        </w:rPr>
        <w:t xml:space="preserve"> é o um anestésico do tipo amida que possui um anel tiopental como sua porção lipofílica.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Isto lhe confere extrema </w:t>
      </w:r>
      <w:proofErr w:type="spellStart"/>
      <w:r w:rsidRPr="00811230">
        <w:rPr>
          <w:rFonts w:ascii="Arial" w:hAnsi="Arial" w:cs="Arial"/>
        </w:rPr>
        <w:t>lipossolubilidade</w:t>
      </w:r>
      <w:proofErr w:type="spellEnd"/>
      <w:r w:rsidRPr="00811230">
        <w:rPr>
          <w:rFonts w:ascii="Arial" w:hAnsi="Arial" w:cs="Arial"/>
        </w:rPr>
        <w:t xml:space="preserve"> e </w:t>
      </w:r>
      <w:proofErr w:type="spellStart"/>
      <w:r w:rsidRPr="00811230">
        <w:rPr>
          <w:rFonts w:ascii="Arial" w:hAnsi="Arial" w:cs="Arial"/>
        </w:rPr>
        <w:t>difusibilidade.</w:t>
      </w:r>
      <w:proofErr w:type="spellEnd"/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Em comparação com a lidocaína, </w:t>
      </w:r>
      <w:proofErr w:type="gramStart"/>
      <w:r w:rsidRPr="00811230">
        <w:rPr>
          <w:rFonts w:ascii="Arial" w:hAnsi="Arial" w:cs="Arial"/>
        </w:rPr>
        <w:t>é</w:t>
      </w:r>
      <w:proofErr w:type="gramEnd"/>
      <w:r w:rsidRPr="00811230">
        <w:rPr>
          <w:rFonts w:ascii="Arial" w:hAnsi="Arial" w:cs="Arial"/>
        </w:rPr>
        <w:t xml:space="preserve"> 1,5 X mais potente, com uma toxicidade bem menor (0,6).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Sua dose total é de 500 </w:t>
      </w:r>
      <w:proofErr w:type="gramStart"/>
      <w:r w:rsidRPr="00811230">
        <w:rPr>
          <w:rFonts w:ascii="Arial" w:hAnsi="Arial" w:cs="Arial"/>
        </w:rPr>
        <w:t>mg</w:t>
      </w:r>
      <w:proofErr w:type="gramEnd"/>
      <w:r w:rsidRPr="00811230">
        <w:rPr>
          <w:rFonts w:ascii="Arial" w:hAnsi="Arial" w:cs="Arial"/>
        </w:rPr>
        <w:t xml:space="preserve"> contra 300 para a lidocaína.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Sua potência vasodilatadora é similar a da lidocaína, contudo é eficaz quando associada à adrenalina.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O início de ação anestésica se dá em 1 a 2 minutos para infiltração, e 2 a 3 minutos para bloqueio regional.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Uma das principais características da </w:t>
      </w:r>
      <w:proofErr w:type="spellStart"/>
      <w:r w:rsidRPr="00811230">
        <w:rPr>
          <w:rFonts w:ascii="Arial" w:hAnsi="Arial" w:cs="Arial"/>
        </w:rPr>
        <w:t>articaína</w:t>
      </w:r>
      <w:proofErr w:type="spellEnd"/>
      <w:r w:rsidRPr="00811230">
        <w:rPr>
          <w:rFonts w:ascii="Arial" w:hAnsi="Arial" w:cs="Arial"/>
        </w:rPr>
        <w:t xml:space="preserve"> é a anestesia palatina causada por apenas uma infiltração vestibular na região de </w:t>
      </w:r>
      <w:proofErr w:type="spellStart"/>
      <w:r w:rsidRPr="00811230">
        <w:rPr>
          <w:rFonts w:ascii="Arial" w:hAnsi="Arial" w:cs="Arial"/>
        </w:rPr>
        <w:t>prémolares</w:t>
      </w:r>
      <w:proofErr w:type="spellEnd"/>
      <w:r w:rsidRPr="00811230">
        <w:rPr>
          <w:rFonts w:ascii="Arial" w:hAnsi="Arial" w:cs="Arial"/>
        </w:rPr>
        <w:t xml:space="preserve">(volume de 1,8 </w:t>
      </w:r>
      <w:proofErr w:type="spellStart"/>
      <w:r w:rsidRPr="00811230">
        <w:rPr>
          <w:rFonts w:ascii="Arial" w:hAnsi="Arial" w:cs="Arial"/>
        </w:rPr>
        <w:t>mL</w:t>
      </w:r>
      <w:proofErr w:type="spellEnd"/>
      <w:r w:rsidRPr="00811230">
        <w:rPr>
          <w:rFonts w:ascii="Arial" w:hAnsi="Arial" w:cs="Arial"/>
        </w:rPr>
        <w:t>), inclusive na mandíbula.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Uma das principais </w:t>
      </w:r>
      <w:proofErr w:type="spellStart"/>
      <w:proofErr w:type="gramStart"/>
      <w:r w:rsidRPr="00811230">
        <w:rPr>
          <w:rFonts w:ascii="Arial" w:hAnsi="Arial" w:cs="Arial"/>
        </w:rPr>
        <w:t>contra-indicações</w:t>
      </w:r>
      <w:proofErr w:type="spellEnd"/>
      <w:proofErr w:type="gramEnd"/>
      <w:r w:rsidRPr="00811230">
        <w:rPr>
          <w:rFonts w:ascii="Arial" w:hAnsi="Arial" w:cs="Arial"/>
        </w:rPr>
        <w:t xml:space="preserve"> são pacientes com tendência a</w:t>
      </w:r>
      <w:r>
        <w:rPr>
          <w:rFonts w:ascii="Arial" w:hAnsi="Arial" w:cs="Arial"/>
        </w:rPr>
        <w:t xml:space="preserve"> desenvolverem </w:t>
      </w:r>
      <w:proofErr w:type="spellStart"/>
      <w:r>
        <w:rPr>
          <w:rFonts w:ascii="Arial" w:hAnsi="Arial" w:cs="Arial"/>
        </w:rPr>
        <w:t>metemoglobinemia.</w:t>
      </w:r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Epinefrina</w:t>
      </w:r>
      <w:proofErr w:type="spellEnd"/>
      <w:r w:rsidRPr="00811230">
        <w:rPr>
          <w:rFonts w:ascii="Arial" w:hAnsi="Arial" w:cs="Arial"/>
        </w:rPr>
        <w:t xml:space="preserve">: Vasoconstritor de referência para comparação dos demais vasoconstritores no aspecto potência e segurança, a </w:t>
      </w:r>
      <w:proofErr w:type="spellStart"/>
      <w:r w:rsidRPr="00811230">
        <w:rPr>
          <w:rFonts w:ascii="Arial" w:hAnsi="Arial" w:cs="Arial"/>
        </w:rPr>
        <w:t>epinefrina</w:t>
      </w:r>
      <w:proofErr w:type="spellEnd"/>
      <w:r w:rsidRPr="00811230">
        <w:rPr>
          <w:rFonts w:ascii="Arial" w:hAnsi="Arial" w:cs="Arial"/>
        </w:rPr>
        <w:t xml:space="preserve"> atua semelhantemente à adrenalina endógena, liberada pela glândula </w:t>
      </w:r>
      <w:proofErr w:type="gramStart"/>
      <w:r w:rsidRPr="00811230">
        <w:rPr>
          <w:rFonts w:ascii="Arial" w:hAnsi="Arial" w:cs="Arial"/>
        </w:rPr>
        <w:t>supra-</w:t>
      </w:r>
      <w:proofErr w:type="spellStart"/>
      <w:r w:rsidRPr="00811230">
        <w:rPr>
          <w:rFonts w:ascii="Arial" w:hAnsi="Arial" w:cs="Arial"/>
        </w:rPr>
        <w:t>renal</w:t>
      </w:r>
      <w:proofErr w:type="gramEnd"/>
      <w:r w:rsidRPr="00811230">
        <w:rPr>
          <w:rFonts w:ascii="Arial" w:hAnsi="Arial" w:cs="Arial"/>
        </w:rPr>
        <w:t>.</w:t>
      </w:r>
      <w:proofErr w:type="spellEnd"/>
    </w:p>
    <w:p w:rsid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 xml:space="preserve">Promove vasoconstrição por </w:t>
      </w:r>
      <w:proofErr w:type="gramStart"/>
      <w:r w:rsidRPr="00811230">
        <w:rPr>
          <w:rFonts w:ascii="Arial" w:hAnsi="Arial" w:cs="Arial"/>
        </w:rPr>
        <w:t>atuação nos receptores alfa capilares, resultando em hemostasia efetiva durante procedimentos cirúrgicos</w:t>
      </w:r>
      <w:proofErr w:type="gramEnd"/>
      <w:r w:rsidRPr="00811230">
        <w:rPr>
          <w:rFonts w:ascii="Arial" w:hAnsi="Arial" w:cs="Arial"/>
        </w:rPr>
        <w:t>.</w:t>
      </w:r>
    </w:p>
    <w:p w:rsidR="00811230" w:rsidRPr="00811230" w:rsidRDefault="00811230" w:rsidP="0081123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bookmarkStart w:id="0" w:name="_GoBack"/>
      <w:bookmarkEnd w:id="0"/>
      <w:r w:rsidRPr="00811230">
        <w:rPr>
          <w:rFonts w:ascii="Arial" w:hAnsi="Arial" w:cs="Arial"/>
        </w:rPr>
        <w:t>Sua eficácia e relativa segurança permite que a ação do anestésico local seja suficiente para a maioria dos procedimentos, diminuindo</w:t>
      </w:r>
      <w:r w:rsidRPr="00811230">
        <w:rPr>
          <w:rFonts w:ascii="Arial" w:hAnsi="Arial" w:cs="Arial"/>
        </w:rPr>
        <w:br/>
        <w:t>a toxicidade e aumentando a hemostasia.</w:t>
      </w: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sz w:val="28"/>
        </w:rPr>
      </w:pPr>
      <w:r w:rsidRPr="00811230">
        <w:rPr>
          <w:rFonts w:ascii="Arial" w:hAnsi="Arial" w:cs="Arial"/>
          <w:b/>
          <w:sz w:val="28"/>
        </w:rPr>
        <w:t>Aplicação</w:t>
      </w:r>
    </w:p>
    <w:p w:rsidR="00811230" w:rsidRPr="00811230" w:rsidRDefault="00811230" w:rsidP="00811230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</w:p>
    <w:p w:rsidR="00811230" w:rsidRDefault="00811230" w:rsidP="0081123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t>Indicado para procedimentos mais complexos ou que necessitam de complementação palatina.</w:t>
      </w:r>
    </w:p>
    <w:p w:rsidR="00811230" w:rsidRPr="00811230" w:rsidRDefault="00811230" w:rsidP="0081123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811230">
        <w:rPr>
          <w:rFonts w:ascii="Arial" w:hAnsi="Arial" w:cs="Arial"/>
        </w:rPr>
        <w:lastRenderedPageBreak/>
        <w:t>Utilizado em tratamentos cirúrgicos em geral, principalmente em pacientes que relatam dificuldades de serem anestesiados.</w:t>
      </w:r>
    </w:p>
    <w:p w:rsidR="00811230" w:rsidRPr="00811230" w:rsidRDefault="00811230" w:rsidP="0081123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811230" w:rsidRPr="008112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B13DB"/>
    <w:multiLevelType w:val="hybridMultilevel"/>
    <w:tmpl w:val="E0CA24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A5E76"/>
    <w:multiLevelType w:val="hybridMultilevel"/>
    <w:tmpl w:val="5FE89B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17AE5"/>
    <w:multiLevelType w:val="hybridMultilevel"/>
    <w:tmpl w:val="0D48EA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48"/>
    <w:rsid w:val="007B5348"/>
    <w:rsid w:val="00811230"/>
    <w:rsid w:val="00DB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7B5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534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12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11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7B5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534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12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11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2</cp:revision>
  <dcterms:created xsi:type="dcterms:W3CDTF">2018-08-31T20:03:00Z</dcterms:created>
  <dcterms:modified xsi:type="dcterms:W3CDTF">2018-08-31T20:10:00Z</dcterms:modified>
</cp:coreProperties>
</file>